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FB" w:rsidRDefault="00E93BFB" w:rsidP="00E93BFB">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E93BFB" w:rsidRDefault="00E93BFB" w:rsidP="00E93BFB">
      <w:pPr>
        <w:spacing w:after="0"/>
        <w:jc w:val="right"/>
        <w:rPr>
          <w:rFonts w:ascii="Times New Roman" w:hAnsi="Times New Roman" w:cs="Times New Roman"/>
          <w:sz w:val="28"/>
          <w:szCs w:val="28"/>
        </w:rPr>
      </w:pPr>
    </w:p>
    <w:p w:rsidR="00E93BFB" w:rsidRDefault="00E93BFB" w:rsidP="00E93BFB">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Информация о значениях показателей </w:t>
      </w:r>
      <w:r>
        <w:rPr>
          <w:rFonts w:ascii="Times New Roman" w:hAnsi="Times New Roman" w:cs="Times New Roman"/>
          <w:sz w:val="28"/>
          <w:szCs w:val="28"/>
        </w:rPr>
        <w:br/>
        <w:t>результативности и эффективности за 202</w:t>
      </w:r>
      <w:r w:rsidR="008D1F9B">
        <w:rPr>
          <w:rFonts w:ascii="Times New Roman" w:hAnsi="Times New Roman" w:cs="Times New Roman"/>
          <w:sz w:val="28"/>
          <w:szCs w:val="28"/>
        </w:rPr>
        <w:t>3</w:t>
      </w:r>
      <w:bookmarkStart w:id="0" w:name="_GoBack"/>
      <w:bookmarkEnd w:id="0"/>
      <w:r>
        <w:rPr>
          <w:rFonts w:ascii="Times New Roman" w:hAnsi="Times New Roman" w:cs="Times New Roman"/>
          <w:sz w:val="28"/>
          <w:szCs w:val="28"/>
        </w:rPr>
        <w:t xml:space="preserve"> год</w:t>
      </w:r>
    </w:p>
    <w:p w:rsidR="00E93BFB" w:rsidRDefault="00A13D3D" w:rsidP="00E93BFB">
      <w:pPr>
        <w:spacing w:after="0"/>
        <w:jc w:val="center"/>
        <w:rPr>
          <w:rFonts w:ascii="Times New Roman" w:hAnsi="Times New Roman" w:cs="Times New Roman"/>
          <w:sz w:val="28"/>
          <w:szCs w:val="28"/>
        </w:rPr>
      </w:pPr>
      <w:r>
        <w:rPr>
          <w:rFonts w:ascii="Times New Roman" w:hAnsi="Times New Roman" w:cs="Times New Roman"/>
          <w:sz w:val="28"/>
          <w:szCs w:val="28"/>
        </w:rPr>
        <w:t>г</w:t>
      </w:r>
      <w:r w:rsidRPr="00A13D3D">
        <w:rPr>
          <w:rFonts w:ascii="Times New Roman" w:hAnsi="Times New Roman" w:cs="Times New Roman"/>
          <w:sz w:val="28"/>
          <w:szCs w:val="28"/>
        </w:rPr>
        <w:t>осударственн</w:t>
      </w:r>
      <w:r>
        <w:rPr>
          <w:rFonts w:ascii="Times New Roman" w:hAnsi="Times New Roman" w:cs="Times New Roman"/>
          <w:sz w:val="28"/>
          <w:szCs w:val="28"/>
        </w:rPr>
        <w:t>ой</w:t>
      </w:r>
      <w:r w:rsidRPr="00A13D3D">
        <w:rPr>
          <w:rFonts w:ascii="Times New Roman" w:hAnsi="Times New Roman" w:cs="Times New Roman"/>
          <w:sz w:val="28"/>
          <w:szCs w:val="28"/>
        </w:rPr>
        <w:t xml:space="preserve"> инспекци</w:t>
      </w:r>
      <w:r>
        <w:rPr>
          <w:rFonts w:ascii="Times New Roman" w:hAnsi="Times New Roman" w:cs="Times New Roman"/>
          <w:sz w:val="28"/>
          <w:szCs w:val="28"/>
        </w:rPr>
        <w:t>и</w:t>
      </w:r>
      <w:r w:rsidRPr="00A13D3D">
        <w:rPr>
          <w:rFonts w:ascii="Times New Roman" w:hAnsi="Times New Roman" w:cs="Times New Roman"/>
          <w:sz w:val="28"/>
          <w:szCs w:val="28"/>
        </w:rPr>
        <w:t xml:space="preserve"> по надзору за техническим состоянием самоходных машин и других видов техники Кировской области</w:t>
      </w:r>
    </w:p>
    <w:tbl>
      <w:tblPr>
        <w:tblStyle w:val="a3"/>
        <w:tblW w:w="0" w:type="auto"/>
        <w:tblLayout w:type="fixed"/>
        <w:tblLook w:val="04A0" w:firstRow="1" w:lastRow="0" w:firstColumn="1" w:lastColumn="0" w:noHBand="0" w:noVBand="1"/>
      </w:tblPr>
      <w:tblGrid>
        <w:gridCol w:w="675"/>
        <w:gridCol w:w="2410"/>
        <w:gridCol w:w="1134"/>
        <w:gridCol w:w="992"/>
        <w:gridCol w:w="993"/>
        <w:gridCol w:w="1275"/>
        <w:gridCol w:w="851"/>
        <w:gridCol w:w="1241"/>
      </w:tblGrid>
      <w:tr w:rsidR="00E93BFB" w:rsidRPr="00221935" w:rsidTr="00A13D3D">
        <w:tc>
          <w:tcPr>
            <w:tcW w:w="675" w:type="dxa"/>
            <w:vMerge w:val="restart"/>
          </w:tcPr>
          <w:p w:rsidR="00E93BFB" w:rsidRPr="00221935" w:rsidRDefault="00E93BFB" w:rsidP="00A13D3D">
            <w:pPr>
              <w:jc w:val="center"/>
              <w:rPr>
                <w:rFonts w:ascii="Times New Roman" w:hAnsi="Times New Roman" w:cs="Times New Roman"/>
                <w:sz w:val="18"/>
                <w:szCs w:val="28"/>
              </w:rPr>
            </w:pPr>
            <w:r w:rsidRPr="00221935">
              <w:rPr>
                <w:rFonts w:ascii="Times New Roman" w:hAnsi="Times New Roman" w:cs="Times New Roman"/>
                <w:sz w:val="18"/>
                <w:szCs w:val="28"/>
              </w:rPr>
              <w:t xml:space="preserve">№ </w:t>
            </w:r>
            <w:proofErr w:type="gramStart"/>
            <w:r w:rsidRPr="00221935">
              <w:rPr>
                <w:rFonts w:ascii="Times New Roman" w:hAnsi="Times New Roman" w:cs="Times New Roman"/>
                <w:sz w:val="18"/>
                <w:szCs w:val="28"/>
              </w:rPr>
              <w:t>п</w:t>
            </w:r>
            <w:proofErr w:type="gramEnd"/>
            <w:r w:rsidRPr="00221935">
              <w:rPr>
                <w:rFonts w:ascii="Times New Roman" w:hAnsi="Times New Roman" w:cs="Times New Roman"/>
                <w:sz w:val="18"/>
                <w:szCs w:val="28"/>
              </w:rPr>
              <w:t>/п</w:t>
            </w:r>
          </w:p>
        </w:tc>
        <w:tc>
          <w:tcPr>
            <w:tcW w:w="2410"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1134"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Единица измерения</w:t>
            </w:r>
          </w:p>
        </w:tc>
        <w:tc>
          <w:tcPr>
            <w:tcW w:w="992"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Целевое значение</w:t>
            </w:r>
          </w:p>
        </w:tc>
        <w:tc>
          <w:tcPr>
            <w:tcW w:w="2268" w:type="dxa"/>
            <w:gridSpan w:val="2"/>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Фактическое значение</w:t>
            </w:r>
          </w:p>
        </w:tc>
        <w:tc>
          <w:tcPr>
            <w:tcW w:w="851"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Бальная оценка</w:t>
            </w:r>
          </w:p>
        </w:tc>
        <w:tc>
          <w:tcPr>
            <w:tcW w:w="1241"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Справочная информация</w:t>
            </w:r>
          </w:p>
        </w:tc>
      </w:tr>
      <w:tr w:rsidR="00E93BFB" w:rsidRPr="00221935" w:rsidTr="00A13D3D">
        <w:tc>
          <w:tcPr>
            <w:tcW w:w="675" w:type="dxa"/>
            <w:vMerge/>
          </w:tcPr>
          <w:p w:rsidR="00E93BFB" w:rsidRPr="00221935" w:rsidRDefault="00E93BFB" w:rsidP="00A13D3D">
            <w:pPr>
              <w:jc w:val="center"/>
              <w:rPr>
                <w:rFonts w:ascii="Times New Roman" w:hAnsi="Times New Roman" w:cs="Times New Roman"/>
                <w:sz w:val="18"/>
                <w:szCs w:val="28"/>
              </w:rPr>
            </w:pPr>
          </w:p>
        </w:tc>
        <w:tc>
          <w:tcPr>
            <w:tcW w:w="2410" w:type="dxa"/>
            <w:vMerge/>
          </w:tcPr>
          <w:p w:rsidR="00E93BFB" w:rsidRPr="00221935" w:rsidRDefault="00E93BFB" w:rsidP="00A13D3D">
            <w:pPr>
              <w:jc w:val="center"/>
              <w:rPr>
                <w:rFonts w:ascii="Times New Roman" w:hAnsi="Times New Roman" w:cs="Times New Roman"/>
                <w:sz w:val="18"/>
                <w:szCs w:val="28"/>
              </w:rPr>
            </w:pPr>
          </w:p>
        </w:tc>
        <w:tc>
          <w:tcPr>
            <w:tcW w:w="1134" w:type="dxa"/>
            <w:vMerge/>
          </w:tcPr>
          <w:p w:rsidR="00E93BFB" w:rsidRPr="00221935" w:rsidRDefault="00E93BFB" w:rsidP="00A13D3D">
            <w:pPr>
              <w:jc w:val="center"/>
              <w:rPr>
                <w:rFonts w:ascii="Times New Roman" w:hAnsi="Times New Roman" w:cs="Times New Roman"/>
                <w:sz w:val="18"/>
                <w:szCs w:val="28"/>
              </w:rPr>
            </w:pPr>
          </w:p>
        </w:tc>
        <w:tc>
          <w:tcPr>
            <w:tcW w:w="992" w:type="dxa"/>
            <w:vMerge/>
          </w:tcPr>
          <w:p w:rsidR="00E93BFB" w:rsidRPr="00221935" w:rsidRDefault="00E93BFB" w:rsidP="00A13D3D">
            <w:pPr>
              <w:jc w:val="center"/>
              <w:rPr>
                <w:rFonts w:ascii="Times New Roman" w:hAnsi="Times New Roman" w:cs="Times New Roman"/>
                <w:sz w:val="18"/>
                <w:szCs w:val="28"/>
              </w:rPr>
            </w:pPr>
          </w:p>
        </w:tc>
        <w:tc>
          <w:tcPr>
            <w:tcW w:w="993"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Отчетный год</w:t>
            </w:r>
          </w:p>
        </w:tc>
        <w:tc>
          <w:tcPr>
            <w:tcW w:w="1275"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Предыдущий год</w:t>
            </w:r>
          </w:p>
        </w:tc>
        <w:tc>
          <w:tcPr>
            <w:tcW w:w="851" w:type="dxa"/>
            <w:vMerge/>
          </w:tcPr>
          <w:p w:rsidR="00E93BFB" w:rsidRPr="00221935" w:rsidRDefault="00E93BFB" w:rsidP="00A13D3D">
            <w:pPr>
              <w:jc w:val="center"/>
              <w:rPr>
                <w:rFonts w:ascii="Times New Roman" w:hAnsi="Times New Roman" w:cs="Times New Roman"/>
                <w:sz w:val="18"/>
                <w:szCs w:val="28"/>
              </w:rPr>
            </w:pPr>
          </w:p>
        </w:tc>
        <w:tc>
          <w:tcPr>
            <w:tcW w:w="1241" w:type="dxa"/>
            <w:vMerge/>
          </w:tcPr>
          <w:p w:rsidR="00E93BFB" w:rsidRPr="00221935" w:rsidRDefault="00E93BFB" w:rsidP="00A13D3D">
            <w:pPr>
              <w:jc w:val="center"/>
              <w:rPr>
                <w:rFonts w:ascii="Times New Roman" w:hAnsi="Times New Roman" w:cs="Times New Roman"/>
                <w:sz w:val="18"/>
                <w:szCs w:val="28"/>
              </w:rPr>
            </w:pPr>
          </w:p>
        </w:tc>
      </w:tr>
      <w:tr w:rsidR="00E93BFB" w:rsidRPr="00221935" w:rsidTr="00A13D3D">
        <w:tc>
          <w:tcPr>
            <w:tcW w:w="675" w:type="dxa"/>
          </w:tcPr>
          <w:p w:rsidR="00E93BFB" w:rsidRPr="00221935" w:rsidRDefault="00E93BFB" w:rsidP="00A13D3D">
            <w:pPr>
              <w:jc w:val="center"/>
              <w:rPr>
                <w:rFonts w:ascii="Times New Roman" w:hAnsi="Times New Roman" w:cs="Times New Roman"/>
                <w:sz w:val="18"/>
                <w:szCs w:val="28"/>
              </w:rPr>
            </w:pPr>
          </w:p>
        </w:tc>
        <w:tc>
          <w:tcPr>
            <w:tcW w:w="2410" w:type="dxa"/>
          </w:tcPr>
          <w:p w:rsidR="00E93BFB" w:rsidRPr="00221935" w:rsidRDefault="00E93BFB" w:rsidP="00A13D3D">
            <w:pPr>
              <w:jc w:val="center"/>
              <w:rPr>
                <w:rFonts w:ascii="Times New Roman" w:hAnsi="Times New Roman" w:cs="Times New Roman"/>
                <w:sz w:val="18"/>
                <w:szCs w:val="28"/>
              </w:rPr>
            </w:pPr>
          </w:p>
        </w:tc>
        <w:tc>
          <w:tcPr>
            <w:tcW w:w="1134" w:type="dxa"/>
          </w:tcPr>
          <w:p w:rsidR="00E93BFB" w:rsidRPr="00221935" w:rsidRDefault="00E93BFB" w:rsidP="00A13D3D">
            <w:pPr>
              <w:jc w:val="center"/>
              <w:rPr>
                <w:rFonts w:ascii="Times New Roman" w:hAnsi="Times New Roman" w:cs="Times New Roman"/>
                <w:sz w:val="18"/>
                <w:szCs w:val="28"/>
              </w:rPr>
            </w:pPr>
          </w:p>
        </w:tc>
        <w:tc>
          <w:tcPr>
            <w:tcW w:w="992" w:type="dxa"/>
          </w:tcPr>
          <w:p w:rsidR="00E93BFB" w:rsidRPr="00221935" w:rsidRDefault="00E93BFB" w:rsidP="00A13D3D">
            <w:pPr>
              <w:jc w:val="center"/>
              <w:rPr>
                <w:rFonts w:ascii="Times New Roman" w:hAnsi="Times New Roman" w:cs="Times New Roman"/>
                <w:sz w:val="18"/>
                <w:szCs w:val="28"/>
              </w:rPr>
            </w:pPr>
          </w:p>
        </w:tc>
        <w:tc>
          <w:tcPr>
            <w:tcW w:w="993" w:type="dxa"/>
          </w:tcPr>
          <w:p w:rsidR="00E93BFB" w:rsidRPr="00221935" w:rsidRDefault="00E93BFB" w:rsidP="00A13D3D">
            <w:pPr>
              <w:jc w:val="center"/>
              <w:rPr>
                <w:rFonts w:ascii="Times New Roman" w:hAnsi="Times New Roman" w:cs="Times New Roman"/>
                <w:sz w:val="18"/>
                <w:szCs w:val="28"/>
              </w:rPr>
            </w:pPr>
          </w:p>
        </w:tc>
        <w:tc>
          <w:tcPr>
            <w:tcW w:w="1275" w:type="dxa"/>
          </w:tcPr>
          <w:p w:rsidR="00E93BFB" w:rsidRPr="00221935" w:rsidRDefault="00E93BFB" w:rsidP="00A13D3D">
            <w:pPr>
              <w:jc w:val="center"/>
              <w:rPr>
                <w:rFonts w:ascii="Times New Roman" w:hAnsi="Times New Roman" w:cs="Times New Roman"/>
                <w:sz w:val="18"/>
                <w:szCs w:val="28"/>
              </w:rPr>
            </w:pPr>
          </w:p>
        </w:tc>
        <w:tc>
          <w:tcPr>
            <w:tcW w:w="851" w:type="dxa"/>
          </w:tcPr>
          <w:p w:rsidR="00E93BFB" w:rsidRPr="00221935" w:rsidRDefault="00E93BFB" w:rsidP="00A13D3D">
            <w:pPr>
              <w:jc w:val="center"/>
              <w:rPr>
                <w:rFonts w:ascii="Times New Roman" w:hAnsi="Times New Roman" w:cs="Times New Roman"/>
                <w:sz w:val="18"/>
                <w:szCs w:val="28"/>
              </w:rPr>
            </w:pPr>
          </w:p>
        </w:tc>
        <w:tc>
          <w:tcPr>
            <w:tcW w:w="1241" w:type="dxa"/>
          </w:tcPr>
          <w:p w:rsidR="00E93BFB" w:rsidRPr="00221935" w:rsidRDefault="00E93BFB" w:rsidP="00A13D3D">
            <w:pPr>
              <w:jc w:val="center"/>
              <w:rPr>
                <w:rFonts w:ascii="Times New Roman" w:hAnsi="Times New Roman" w:cs="Times New Roman"/>
                <w:sz w:val="18"/>
                <w:szCs w:val="28"/>
              </w:rPr>
            </w:pPr>
          </w:p>
        </w:tc>
      </w:tr>
      <w:tr w:rsidR="00E93BFB" w:rsidRPr="00221935" w:rsidTr="00A13D3D">
        <w:tc>
          <w:tcPr>
            <w:tcW w:w="9571" w:type="dxa"/>
            <w:gridSpan w:val="8"/>
          </w:tcPr>
          <w:p w:rsidR="00E93BFB" w:rsidRPr="00CB0D0F" w:rsidRDefault="00E93BFB" w:rsidP="00E93BFB">
            <w:pPr>
              <w:jc w:val="center"/>
              <w:rPr>
                <w:rFonts w:ascii="Times New Roman" w:hAnsi="Times New Roman" w:cs="Times New Roman"/>
                <w:b/>
                <w:sz w:val="18"/>
                <w:szCs w:val="28"/>
              </w:rPr>
            </w:pPr>
            <w:r>
              <w:rPr>
                <w:rFonts w:ascii="Times New Roman" w:hAnsi="Times New Roman" w:cs="Times New Roman"/>
                <w:b/>
                <w:sz w:val="18"/>
                <w:szCs w:val="28"/>
              </w:rPr>
              <w:t>Р</w:t>
            </w:r>
            <w:r w:rsidRPr="00E93BFB">
              <w:rPr>
                <w:rFonts w:ascii="Times New Roman" w:hAnsi="Times New Roman" w:cs="Times New Roman"/>
                <w:b/>
                <w:sz w:val="18"/>
                <w:szCs w:val="28"/>
              </w:rPr>
              <w:t>егиональн</w:t>
            </w:r>
            <w:r>
              <w:rPr>
                <w:rFonts w:ascii="Times New Roman" w:hAnsi="Times New Roman" w:cs="Times New Roman"/>
                <w:b/>
                <w:sz w:val="18"/>
                <w:szCs w:val="28"/>
              </w:rPr>
              <w:t>ый</w:t>
            </w:r>
            <w:r w:rsidRPr="00E93BFB">
              <w:rPr>
                <w:rFonts w:ascii="Times New Roman" w:hAnsi="Times New Roman" w:cs="Times New Roman"/>
                <w:b/>
                <w:sz w:val="18"/>
                <w:szCs w:val="28"/>
              </w:rPr>
              <w:t xml:space="preserve"> государственн</w:t>
            </w:r>
            <w:r>
              <w:rPr>
                <w:rFonts w:ascii="Times New Roman" w:hAnsi="Times New Roman" w:cs="Times New Roman"/>
                <w:b/>
                <w:sz w:val="18"/>
                <w:szCs w:val="28"/>
              </w:rPr>
              <w:t>ый</w:t>
            </w:r>
            <w:r w:rsidRPr="00E93BFB">
              <w:rPr>
                <w:rFonts w:ascii="Times New Roman" w:hAnsi="Times New Roman" w:cs="Times New Roman"/>
                <w:b/>
                <w:sz w:val="18"/>
                <w:szCs w:val="28"/>
              </w:rPr>
              <w:t xml:space="preserve"> контрол</w:t>
            </w:r>
            <w:r>
              <w:rPr>
                <w:rFonts w:ascii="Times New Roman" w:hAnsi="Times New Roman" w:cs="Times New Roman"/>
                <w:b/>
                <w:sz w:val="18"/>
                <w:szCs w:val="28"/>
              </w:rPr>
              <w:t>ь (надзор</w:t>
            </w:r>
            <w:r w:rsidRPr="00E93BFB">
              <w:rPr>
                <w:rFonts w:ascii="Times New Roman" w:hAnsi="Times New Roman" w:cs="Times New Roman"/>
                <w:b/>
                <w:sz w:val="18"/>
                <w:szCs w:val="28"/>
              </w:rPr>
              <w:t>) в области технического состояния и эксплуатации самоходных машин и других видов техники</w:t>
            </w:r>
          </w:p>
        </w:tc>
      </w:tr>
      <w:tr w:rsidR="00E93BFB" w:rsidRPr="00221935" w:rsidTr="00A13D3D">
        <w:tc>
          <w:tcPr>
            <w:tcW w:w="9571" w:type="dxa"/>
            <w:gridSpan w:val="8"/>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А.1.1</w:t>
            </w:r>
          </w:p>
        </w:tc>
        <w:tc>
          <w:tcPr>
            <w:tcW w:w="2410" w:type="dxa"/>
          </w:tcPr>
          <w:p w:rsidR="00557385" w:rsidRPr="00557385" w:rsidRDefault="00557385">
            <w:pPr>
              <w:pStyle w:val="Default"/>
              <w:jc w:val="both"/>
              <w:rPr>
                <w:sz w:val="18"/>
                <w:szCs w:val="18"/>
              </w:rPr>
            </w:pPr>
            <w:r w:rsidRPr="00557385">
              <w:rPr>
                <w:sz w:val="18"/>
                <w:szCs w:val="18"/>
              </w:rPr>
              <w:t>количество людей,         погибших по причине технической неисправности, возникшей в           результате несоблюдения обязательных требований к техническому состоянию и (или) правил эксплуатации поднадзорных машин и других видов техники, на 100 тыс. населения Кировской области</w:t>
            </w:r>
          </w:p>
        </w:tc>
        <w:tc>
          <w:tcPr>
            <w:tcW w:w="1134" w:type="dxa"/>
          </w:tcPr>
          <w:p w:rsidR="00557385" w:rsidRPr="00221935" w:rsidRDefault="00557385" w:rsidP="00A13D3D">
            <w:pPr>
              <w:jc w:val="center"/>
              <w:rPr>
                <w:rFonts w:ascii="Times New Roman" w:hAnsi="Times New Roman" w:cs="Times New Roman"/>
                <w:sz w:val="18"/>
                <w:szCs w:val="28"/>
              </w:rPr>
            </w:pPr>
            <w:r w:rsidRPr="00A13D3D">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0,3</w:t>
            </w:r>
          </w:p>
        </w:tc>
        <w:tc>
          <w:tcPr>
            <w:tcW w:w="993" w:type="dxa"/>
          </w:tcPr>
          <w:p w:rsidR="00557385" w:rsidRPr="00E93095" w:rsidRDefault="00557385"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55738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По информации УМВД России по Кировской области</w:t>
            </w:r>
          </w:p>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А</w:t>
            </w:r>
            <w:proofErr w:type="gramStart"/>
            <w:r>
              <w:rPr>
                <w:rFonts w:ascii="Times New Roman" w:hAnsi="Times New Roman" w:cs="Times New Roman"/>
                <w:sz w:val="18"/>
                <w:szCs w:val="28"/>
              </w:rPr>
              <w:t>1</w:t>
            </w:r>
            <w:proofErr w:type="gramEnd"/>
            <w:r>
              <w:rPr>
                <w:rFonts w:ascii="Times New Roman" w:hAnsi="Times New Roman" w:cs="Times New Roman"/>
                <w:sz w:val="18"/>
                <w:szCs w:val="28"/>
              </w:rPr>
              <w:t>.2</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людей, получивших вред здоровью по причине технической неисправности, возникшей в результате несоблюдения обязательных требований к техническому состоянию и (или) правил эксплуатации поднадзорных машин и других видов техники, на 100 тыс.      населения Кировской     области</w:t>
            </w:r>
          </w:p>
        </w:tc>
        <w:tc>
          <w:tcPr>
            <w:tcW w:w="1134" w:type="dxa"/>
          </w:tcPr>
          <w:p w:rsidR="00557385" w:rsidRDefault="00557385" w:rsidP="00A13D3D">
            <w:pPr>
              <w:jc w:val="center"/>
              <w:rPr>
                <w:rFonts w:ascii="Times New Roman" w:hAnsi="Times New Roman" w:cs="Times New Roman"/>
                <w:sz w:val="18"/>
                <w:szCs w:val="28"/>
              </w:rPr>
            </w:pPr>
            <w:r w:rsidRPr="00A13D3D">
              <w:rPr>
                <w:rFonts w:ascii="Times New Roman" w:hAnsi="Times New Roman" w:cs="Times New Roman"/>
                <w:sz w:val="18"/>
                <w:szCs w:val="28"/>
              </w:rPr>
              <w:t>Ед.</w:t>
            </w:r>
          </w:p>
        </w:tc>
        <w:tc>
          <w:tcPr>
            <w:tcW w:w="992" w:type="dxa"/>
          </w:tcPr>
          <w:p w:rsidR="00557385" w:rsidRDefault="00557385" w:rsidP="00A13D3D">
            <w:pPr>
              <w:jc w:val="center"/>
              <w:rPr>
                <w:rFonts w:ascii="Times New Roman" w:hAnsi="Times New Roman" w:cs="Times New Roman"/>
                <w:sz w:val="18"/>
                <w:szCs w:val="28"/>
              </w:rPr>
            </w:pPr>
            <w:r>
              <w:rPr>
                <w:rFonts w:ascii="Times New Roman" w:hAnsi="Times New Roman" w:cs="Times New Roman"/>
                <w:sz w:val="18"/>
                <w:szCs w:val="28"/>
              </w:rPr>
              <w:t>4,9</w:t>
            </w:r>
          </w:p>
        </w:tc>
        <w:tc>
          <w:tcPr>
            <w:tcW w:w="993" w:type="dxa"/>
          </w:tcPr>
          <w:p w:rsidR="00557385" w:rsidRPr="00E93095" w:rsidRDefault="00557385"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0</w:t>
            </w:r>
          </w:p>
        </w:tc>
        <w:tc>
          <w:tcPr>
            <w:tcW w:w="1275" w:type="dxa"/>
          </w:tcPr>
          <w:p w:rsidR="0055738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Default="00557385" w:rsidP="00A13D3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557385" w:rsidRDefault="00557385" w:rsidP="00A13D3D">
            <w:pPr>
              <w:jc w:val="center"/>
              <w:rPr>
                <w:rFonts w:ascii="Times New Roman" w:hAnsi="Times New Roman" w:cs="Times New Roman"/>
                <w:sz w:val="18"/>
                <w:szCs w:val="28"/>
              </w:rPr>
            </w:pPr>
            <w:r w:rsidRPr="003C1D27">
              <w:rPr>
                <w:rFonts w:ascii="Times New Roman" w:hAnsi="Times New Roman" w:cs="Times New Roman"/>
                <w:sz w:val="18"/>
                <w:szCs w:val="28"/>
              </w:rPr>
              <w:t>По информации УМВД России по Кировской области</w:t>
            </w:r>
          </w:p>
        </w:tc>
      </w:tr>
      <w:tr w:rsidR="00E93BFB" w:rsidRPr="00221935" w:rsidTr="00A13D3D">
        <w:tc>
          <w:tcPr>
            <w:tcW w:w="9571" w:type="dxa"/>
            <w:gridSpan w:val="8"/>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количество плановых контрольных (надзорных) мероприятий, проведенных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количество внеплановых контрольных (надзорных) мероприятий, проведенных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 xml:space="preserve">общее количество контрольных (надзорных) мероприятий с взаимодействием с контролируемыми лицами, </w:t>
            </w:r>
            <w:r w:rsidRPr="00557385">
              <w:rPr>
                <w:rFonts w:ascii="Times New Roman" w:hAnsi="Times New Roman"/>
                <w:sz w:val="18"/>
                <w:szCs w:val="18"/>
              </w:rPr>
              <w:lastRenderedPageBreak/>
              <w:t>проведенных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lastRenderedPageBreak/>
              <w:t>В.5</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количество обязательных профилактических визитов, проведенных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0D3C6A" w:rsidRDefault="00557385"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4</w:t>
            </w: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7</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4</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количество предостережений о недопустимости нарушения обязательных требований, объявленных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0D3C6A" w:rsidRDefault="00557385"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40</w:t>
            </w: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45</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55</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 xml:space="preserve">количество контрольных (надзорных) мероприятий, по </w:t>
            </w:r>
            <w:proofErr w:type="gramStart"/>
            <w:r w:rsidRPr="00557385">
              <w:rPr>
                <w:rFonts w:ascii="Times New Roman" w:hAnsi="Times New Roman"/>
                <w:sz w:val="18"/>
                <w:szCs w:val="18"/>
              </w:rPr>
              <w:t>результатам</w:t>
            </w:r>
            <w:proofErr w:type="gramEnd"/>
            <w:r w:rsidRPr="00557385">
              <w:rPr>
                <w:rFonts w:ascii="Times New Roman" w:hAnsi="Times New Roman"/>
                <w:sz w:val="18"/>
                <w:szCs w:val="18"/>
              </w:rPr>
              <w:t xml:space="preserve"> проведения которых выявлены нарушения обязательных требований,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 xml:space="preserve">количество контрольных (надзорных) мероприятий, по </w:t>
            </w:r>
            <w:proofErr w:type="gramStart"/>
            <w:r w:rsidRPr="00557385">
              <w:rPr>
                <w:rFonts w:ascii="Times New Roman" w:hAnsi="Times New Roman"/>
                <w:sz w:val="18"/>
                <w:szCs w:val="18"/>
              </w:rPr>
              <w:t>итогам</w:t>
            </w:r>
            <w:proofErr w:type="gramEnd"/>
            <w:r w:rsidRPr="00557385">
              <w:rPr>
                <w:rFonts w:ascii="Times New Roman" w:hAnsi="Times New Roman"/>
                <w:sz w:val="18"/>
                <w:szCs w:val="18"/>
              </w:rPr>
              <w:t xml:space="preserve"> проведения которых возбуждены дела об административных правонарушениях,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сумма административных штрафов, наложенных по результатам контрольных (надзорных) мероприятий,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557385" w:rsidRPr="00557385" w:rsidRDefault="00557385">
            <w:pPr>
              <w:jc w:val="both"/>
              <w:rPr>
                <w:rFonts w:ascii="Times New Roman" w:hAnsi="Times New Roman" w:cs="Times New Roman"/>
                <w:bCs/>
                <w:sz w:val="18"/>
                <w:szCs w:val="18"/>
              </w:rPr>
            </w:pPr>
            <w:r w:rsidRPr="00557385">
              <w:rPr>
                <w:rFonts w:ascii="Times New Roman" w:hAnsi="Times New Roman"/>
                <w:sz w:val="18"/>
                <w:szCs w:val="1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sidRPr="001F6400">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учтенных контролируемых лиц на конец отчетного периода</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2704</w:t>
            </w:r>
          </w:p>
        </w:tc>
        <w:tc>
          <w:tcPr>
            <w:tcW w:w="12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2704</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143405" w:rsidRPr="00221935" w:rsidTr="00A13D3D">
        <w:tc>
          <w:tcPr>
            <w:tcW w:w="675" w:type="dxa"/>
            <w:vMerge w:val="restart"/>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143405" w:rsidRPr="001F6400" w:rsidRDefault="00557385" w:rsidP="00557385">
            <w:pPr>
              <w:pStyle w:val="ConsPlusNormal"/>
              <w:jc w:val="both"/>
              <w:rPr>
                <w:rFonts w:ascii="Times New Roman" w:hAnsi="Times New Roman" w:cs="Times New Roman"/>
                <w:sz w:val="18"/>
                <w:szCs w:val="18"/>
              </w:rPr>
            </w:pPr>
            <w:r w:rsidRPr="00557385">
              <w:rPr>
                <w:rFonts w:ascii="Times New Roman" w:hAnsi="Times New Roman" w:cs="Times New Roman"/>
                <w:sz w:val="18"/>
                <w:szCs w:val="18"/>
              </w:rPr>
              <w:t>количество учтенных контролируемых лиц, отнесенных к категориям риска, по каждой из категорий риска на конец отчетного периода</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6D3667" w:rsidP="00A13D3D">
            <w:pPr>
              <w:jc w:val="center"/>
              <w:rPr>
                <w:rFonts w:ascii="Times New Roman" w:hAnsi="Times New Roman" w:cs="Times New Roman"/>
                <w:sz w:val="18"/>
                <w:szCs w:val="28"/>
              </w:rPr>
            </w:pPr>
            <w:r>
              <w:rPr>
                <w:rFonts w:ascii="Times New Roman" w:hAnsi="Times New Roman" w:cs="Times New Roman"/>
                <w:sz w:val="18"/>
                <w:szCs w:val="28"/>
              </w:rPr>
              <w:t>2704</w:t>
            </w:r>
          </w:p>
        </w:tc>
        <w:tc>
          <w:tcPr>
            <w:tcW w:w="1275" w:type="dxa"/>
          </w:tcPr>
          <w:p w:rsidR="0014340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2704</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Pr="0035540D" w:rsidRDefault="00143405" w:rsidP="006D3667">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143405" w:rsidP="00A13D3D">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14340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4</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Pr="0035540D" w:rsidRDefault="00143405" w:rsidP="006D3667">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143405" w:rsidP="00A13D3D">
            <w:pPr>
              <w:jc w:val="center"/>
              <w:rPr>
                <w:rFonts w:ascii="Times New Roman" w:hAnsi="Times New Roman" w:cs="Times New Roman"/>
                <w:sz w:val="18"/>
                <w:szCs w:val="28"/>
              </w:rPr>
            </w:pPr>
            <w:r>
              <w:rPr>
                <w:rFonts w:ascii="Times New Roman" w:hAnsi="Times New Roman" w:cs="Times New Roman"/>
                <w:sz w:val="18"/>
                <w:szCs w:val="28"/>
              </w:rPr>
              <w:t>16</w:t>
            </w:r>
          </w:p>
        </w:tc>
        <w:tc>
          <w:tcPr>
            <w:tcW w:w="1275" w:type="dxa"/>
          </w:tcPr>
          <w:p w:rsidR="0014340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16</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Default="00143405" w:rsidP="006D3667">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143405" w:rsidP="00A13D3D">
            <w:pPr>
              <w:jc w:val="center"/>
              <w:rPr>
                <w:rFonts w:ascii="Times New Roman" w:hAnsi="Times New Roman" w:cs="Times New Roman"/>
                <w:sz w:val="18"/>
                <w:szCs w:val="28"/>
              </w:rPr>
            </w:pPr>
            <w:r>
              <w:rPr>
                <w:rFonts w:ascii="Times New Roman" w:hAnsi="Times New Roman" w:cs="Times New Roman"/>
                <w:sz w:val="18"/>
                <w:szCs w:val="28"/>
              </w:rPr>
              <w:t>33</w:t>
            </w:r>
          </w:p>
        </w:tc>
        <w:tc>
          <w:tcPr>
            <w:tcW w:w="1275" w:type="dxa"/>
          </w:tcPr>
          <w:p w:rsidR="0014340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33</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Default="00143405" w:rsidP="006D3667">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DD4BB9" w:rsidP="00A13D3D">
            <w:pPr>
              <w:jc w:val="center"/>
              <w:rPr>
                <w:rFonts w:ascii="Times New Roman" w:hAnsi="Times New Roman" w:cs="Times New Roman"/>
                <w:sz w:val="18"/>
                <w:szCs w:val="28"/>
              </w:rPr>
            </w:pPr>
            <w:r>
              <w:rPr>
                <w:rFonts w:ascii="Times New Roman" w:hAnsi="Times New Roman" w:cs="Times New Roman"/>
                <w:sz w:val="18"/>
                <w:szCs w:val="28"/>
              </w:rPr>
              <w:t>2651</w:t>
            </w:r>
          </w:p>
        </w:tc>
        <w:tc>
          <w:tcPr>
            <w:tcW w:w="1275" w:type="dxa"/>
          </w:tcPr>
          <w:p w:rsidR="0014340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2651</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 xml:space="preserve">общее количество жалоб, поданных контролируемыми лицами в </w:t>
            </w:r>
            <w:r w:rsidRPr="00557385">
              <w:rPr>
                <w:rFonts w:ascii="Times New Roman" w:hAnsi="Times New Roman"/>
                <w:sz w:val="18"/>
                <w:szCs w:val="18"/>
              </w:rPr>
              <w:lastRenderedPageBreak/>
              <w:t>досудебном порядке,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lastRenderedPageBreak/>
              <w:t>В.16</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жалоб, в отношении которых контрольным (надзорным) органом был нарушен срок их рассмотрения,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 xml:space="preserve">количество жалоб, поданных контролируемыми лицами в досудебном порядке, по </w:t>
            </w:r>
            <w:proofErr w:type="gramStart"/>
            <w:r w:rsidRPr="00557385">
              <w:rPr>
                <w:rFonts w:ascii="Times New Roman" w:hAnsi="Times New Roman"/>
                <w:sz w:val="18"/>
                <w:szCs w:val="18"/>
              </w:rPr>
              <w:t>итогам</w:t>
            </w:r>
            <w:proofErr w:type="gramEnd"/>
            <w:r w:rsidRPr="00557385">
              <w:rPr>
                <w:rFonts w:ascii="Times New Roman" w:hAnsi="Times New Roman"/>
                <w:sz w:val="18"/>
                <w:szCs w:val="1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r w:rsidR="00557385" w:rsidRPr="00221935" w:rsidTr="00A13D3D">
        <w:tc>
          <w:tcPr>
            <w:tcW w:w="675"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В.20</w:t>
            </w:r>
          </w:p>
        </w:tc>
        <w:tc>
          <w:tcPr>
            <w:tcW w:w="2410" w:type="dxa"/>
          </w:tcPr>
          <w:p w:rsidR="00557385" w:rsidRPr="00557385" w:rsidRDefault="00557385">
            <w:pPr>
              <w:jc w:val="both"/>
              <w:rPr>
                <w:rFonts w:ascii="Times New Roman" w:hAnsi="Times New Roman" w:cs="Times New Roman"/>
                <w:sz w:val="18"/>
                <w:szCs w:val="18"/>
              </w:rPr>
            </w:pPr>
            <w:r w:rsidRPr="00557385">
              <w:rPr>
                <w:rFonts w:ascii="Times New Roman" w:hAnsi="Times New Roman"/>
                <w:sz w:val="18"/>
                <w:szCs w:val="18"/>
              </w:rPr>
              <w:t xml:space="preserve">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w:t>
            </w:r>
            <w:proofErr w:type="gramStart"/>
            <w:r w:rsidRPr="00557385">
              <w:rPr>
                <w:rFonts w:ascii="Times New Roman" w:hAnsi="Times New Roman"/>
                <w:sz w:val="18"/>
                <w:szCs w:val="18"/>
              </w:rPr>
              <w:t>результаты</w:t>
            </w:r>
            <w:proofErr w:type="gramEnd"/>
            <w:r w:rsidRPr="00557385">
              <w:rPr>
                <w:rFonts w:ascii="Times New Roman" w:hAnsi="Times New Roman"/>
                <w:sz w:val="18"/>
                <w:szCs w:val="18"/>
              </w:rPr>
              <w:t xml:space="preserve"> которых были признаны недействительными и (или) отменены, за отчетный период</w:t>
            </w:r>
          </w:p>
        </w:tc>
        <w:tc>
          <w:tcPr>
            <w:tcW w:w="1134"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57385" w:rsidRPr="00221935" w:rsidRDefault="00557385" w:rsidP="00A13D3D">
            <w:pPr>
              <w:jc w:val="center"/>
              <w:rPr>
                <w:rFonts w:ascii="Times New Roman" w:hAnsi="Times New Roman" w:cs="Times New Roman"/>
                <w:sz w:val="18"/>
                <w:szCs w:val="28"/>
              </w:rPr>
            </w:pPr>
          </w:p>
        </w:tc>
        <w:tc>
          <w:tcPr>
            <w:tcW w:w="993" w:type="dxa"/>
          </w:tcPr>
          <w:p w:rsidR="00557385" w:rsidRPr="00221935" w:rsidRDefault="0055738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57385" w:rsidRPr="00221935" w:rsidRDefault="008D1F9B"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557385" w:rsidRPr="00221935" w:rsidRDefault="00557385" w:rsidP="00A13D3D">
            <w:pPr>
              <w:jc w:val="center"/>
              <w:rPr>
                <w:rFonts w:ascii="Times New Roman" w:hAnsi="Times New Roman" w:cs="Times New Roman"/>
                <w:sz w:val="18"/>
                <w:szCs w:val="28"/>
              </w:rPr>
            </w:pPr>
          </w:p>
        </w:tc>
        <w:tc>
          <w:tcPr>
            <w:tcW w:w="1241" w:type="dxa"/>
          </w:tcPr>
          <w:p w:rsidR="00557385" w:rsidRPr="00221935" w:rsidRDefault="00557385" w:rsidP="00A13D3D">
            <w:pPr>
              <w:jc w:val="center"/>
              <w:rPr>
                <w:rFonts w:ascii="Times New Roman" w:hAnsi="Times New Roman" w:cs="Times New Roman"/>
                <w:sz w:val="18"/>
                <w:szCs w:val="28"/>
              </w:rPr>
            </w:pPr>
          </w:p>
        </w:tc>
      </w:tr>
    </w:tbl>
    <w:p w:rsidR="00D729DC" w:rsidRDefault="00D729DC" w:rsidP="00557385">
      <w:pPr>
        <w:ind w:firstLine="709"/>
        <w:jc w:val="both"/>
      </w:pPr>
    </w:p>
    <w:sectPr w:rsidR="00D7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FB"/>
    <w:rsid w:val="00091478"/>
    <w:rsid w:val="000D3C6A"/>
    <w:rsid w:val="00143405"/>
    <w:rsid w:val="001F6400"/>
    <w:rsid w:val="003C1D27"/>
    <w:rsid w:val="00557385"/>
    <w:rsid w:val="006D3667"/>
    <w:rsid w:val="007B6E31"/>
    <w:rsid w:val="00886BFE"/>
    <w:rsid w:val="008D1F9B"/>
    <w:rsid w:val="00A13D3D"/>
    <w:rsid w:val="00D729DC"/>
    <w:rsid w:val="00DD4BB9"/>
    <w:rsid w:val="00E93095"/>
    <w:rsid w:val="00E93BFB"/>
    <w:rsid w:val="00FD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B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93BF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FD5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B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93BF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FD5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2</cp:revision>
  <cp:lastPrinted>2023-02-27T10:56:00Z</cp:lastPrinted>
  <dcterms:created xsi:type="dcterms:W3CDTF">2024-01-31T12:04:00Z</dcterms:created>
  <dcterms:modified xsi:type="dcterms:W3CDTF">2024-01-31T12:04:00Z</dcterms:modified>
</cp:coreProperties>
</file>